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50"/>
        <w:jc w:val="center"/>
      </w:pPr>
      <w:r>
        <w:t xml:space="preserve">BILAGA 2 – DEFINITION AV CIRKULÄRA MEDLEMMAR OCH KOMMUNIKATIONSMATERIAL</w:t>
      </w:r>
    </w:p>
    <w:p>
      <w:pPr>
        <w:spacing w:after="100"/>
        <w:jc w:val="center"/>
      </w:pPr>
      <w:r>
        <w:rPr>
          <w:i/>
          <w:iCs/>
        </w:rPr>
        <w:t xml:space="preserve">Bilaga till stadgarna för [FÖRENINGENS NAMN]</w:t>
      </w:r>
    </w:p>
    <w:p>
      <w:pPr>
        <w:spacing w:after="400"/>
        <w:jc w:val="center"/>
      </w:pPr>
      <w:r>
        <w:rPr>
          <w:i/>
          <w:iCs/>
          <w:sz w:val="20"/>
          <w:szCs w:val="20"/>
        </w:rPr>
        <w:t xml:space="preserve">Denna bilaga fastställs och kan vid behov uppdateras av styrelsen, utan att kräva stadgeändring enligt § 10 i stadgarna.</w:t>
      </w:r>
    </w:p>
    <w:p>
      <w:pPr>
        <w:pStyle w:val="Heading1"/>
        <w:spacing w:after="150" w:before="300"/>
      </w:pPr>
      <w:r>
        <w:t xml:space="preserve">1. Cirkulära principer</w:t>
      </w:r>
    </w:p>
    <w:p>
      <w:pPr>
        <w:spacing w:after="120"/>
      </w:pPr>
      <w:r>
        <w:t xml:space="preserve">Föreningens definition av ”cirkulärt” utgår från det s.k. R9-ramverket för cirkulär ekonomi. Nedanstående strategier används som grund för att bedöma om ett företags eller en organisations produkter, tjänster eller affärsmodell är cirkulära.</w:t>
      </w:r>
    </w:p>
    <w:p>
      <w:pPr>
        <w:pStyle w:val="Heading3"/>
        <w:spacing w:after="80" w:before="160"/>
      </w:pPr>
      <w:r>
        <w:t xml:space="preserve">1.1 Smartare användning av produkter</w:t>
      </w:r>
    </w:p>
    <w:p>
      <w:pPr>
        <w:pStyle w:val="ListParagraph"/>
        <w:numPr>
          <w:ilvl w:val="0"/>
          <w:numId w:val="1"/>
        </w:numPr>
        <w:spacing w:after="100"/>
      </w:pPr>
      <w:r>
        <w:rPr>
          <w:b/>
          <w:bCs/>
        </w:rPr>
        <w:t xml:space="preserve">R1 – Rethink (Tänka om): </w:t>
      </w:r>
      <w:r>
        <w:t xml:space="preserve">Göra produktanvändningen mer intensiv genom delningsekonomi, exempelvis genom affärsmodeller som Product-as-a-Service (PaaS) där kunden hyr eller delar produkten med andra. </w:t>
      </w:r>
      <w:hyperlink w:history="1" r:id="rIdll1tx3krwgjxqybtm2poh">
        <w:r>
          <w:rPr>
            <w:rStyle w:val="Hyperlink"/>
            <w:vertAlign w:val="superscript"/>
          </w:rPr>
          <w:t xml:space="preserve">[1]</w:t>
        </w:r>
      </w:hyperlink>
    </w:p>
    <w:p>
      <w:pPr>
        <w:pStyle w:val="Heading3"/>
        <w:spacing w:after="80" w:before="160"/>
      </w:pPr>
      <w:r>
        <w:t xml:space="preserve">1.2 Förlänga produktens och delarnas livslängd (mellanlångt kretslopp)</w:t>
      </w:r>
    </w:p>
    <w:p>
      <w:pPr>
        <w:spacing w:after="120"/>
      </w:pPr>
      <w:r>
        <w:t xml:space="preserve">Dessa strategier syftar till att hålla den fysiska produkten eller dess komponenter i bruk så länge som möjligt i sin ursprungliga form. </w:t>
      </w:r>
      <w:hyperlink w:history="1" r:id="rIdpe92svpd04voyns8x59wp">
        <w:r>
          <w:rPr>
            <w:rStyle w:val="Hyperlink"/>
            <w:vertAlign w:val="superscript"/>
          </w:rPr>
          <w:t xml:space="preserve">[2]</w:t>
        </w:r>
      </w:hyperlink>
      <w:hyperlink w:history="1" r:id="rIdpj316lwamoicf_4kjmlsx">
        <w:r>
          <w:rPr>
            <w:rStyle w:val="Hyperlink"/>
            <w:vertAlign w:val="superscript"/>
          </w:rPr>
          <w:t xml:space="preserve">[3]</w:t>
        </w:r>
      </w:hyperlink>
    </w:p>
    <w:p>
      <w:pPr>
        <w:pStyle w:val="ListParagraph"/>
        <w:numPr>
          <w:ilvl w:val="0"/>
          <w:numId w:val="1"/>
        </w:numPr>
        <w:spacing w:after="100"/>
      </w:pPr>
      <w:r>
        <w:rPr>
          <w:b/>
          <w:bCs/>
        </w:rPr>
        <w:t xml:space="preserve">R3 – Reuse (Återanvända): </w:t>
      </w:r>
      <w:r>
        <w:t xml:space="preserve">Sälja vidare en produkt som fortfarande är i gott skick till en ny användare (t.ex. secondhand, vintage eller kommersiell vidareförsäljning). </w:t>
      </w:r>
      <w:hyperlink w:history="1" r:id="rIdbr-r8gzowrfu5zqjw_y67">
        <w:r>
          <w:rPr>
            <w:rStyle w:val="Hyperlink"/>
            <w:vertAlign w:val="superscript"/>
          </w:rPr>
          <w:t xml:space="preserve">[3]</w:t>
        </w:r>
      </w:hyperlink>
    </w:p>
    <w:p>
      <w:pPr>
        <w:pStyle w:val="ListParagraph"/>
        <w:numPr>
          <w:ilvl w:val="0"/>
          <w:numId w:val="1"/>
        </w:numPr>
        <w:spacing w:after="100"/>
      </w:pPr>
      <w:r>
        <w:rPr>
          <w:b/>
          <w:bCs/>
        </w:rPr>
        <w:t xml:space="preserve">R4 – Repair (Reparera): </w:t>
      </w:r>
      <w:r>
        <w:t xml:space="preserve">Underhålla och laga defekta produkter så att de kan fortsätta användas för sin ursprungliga funktion. </w:t>
      </w:r>
      <w:hyperlink w:history="1" r:id="rId0bch277092bgphs7kmxv5">
        <w:r>
          <w:rPr>
            <w:rStyle w:val="Hyperlink"/>
            <w:vertAlign w:val="superscript"/>
          </w:rPr>
          <w:t xml:space="preserve">[3]</w:t>
        </w:r>
      </w:hyperlink>
      <w:hyperlink w:history="1" r:id="rIdi3y1qqezjjryvczmaqhc9">
        <w:r>
          <w:rPr>
            <w:rStyle w:val="Hyperlink"/>
            <w:vertAlign w:val="superscript"/>
          </w:rPr>
          <w:t xml:space="preserve">[2]</w:t>
        </w:r>
      </w:hyperlink>
    </w:p>
    <w:p>
      <w:pPr>
        <w:pStyle w:val="ListParagraph"/>
        <w:numPr>
          <w:ilvl w:val="0"/>
          <w:numId w:val="1"/>
        </w:numPr>
        <w:spacing w:after="100"/>
      </w:pPr>
      <w:r>
        <w:rPr>
          <w:b/>
          <w:bCs/>
        </w:rPr>
        <w:t xml:space="preserve">R5 – Refurbish (Renovera): </w:t>
      </w:r>
      <w:r>
        <w:t xml:space="preserve">Uppgradera, fräscha upp eller modernisera en äldre produkt (t.ex. rekonditionerade mobiltelefoner eller datorer). </w:t>
      </w:r>
      <w:hyperlink w:history="1" r:id="rIdovybtr1ax6810-cqitnsv">
        <w:r>
          <w:rPr>
            <w:rStyle w:val="Hyperlink"/>
            <w:vertAlign w:val="superscript"/>
          </w:rPr>
          <w:t xml:space="preserve">[3]</w:t>
        </w:r>
      </w:hyperlink>
    </w:p>
    <w:p>
      <w:pPr>
        <w:pStyle w:val="ListParagraph"/>
        <w:numPr>
          <w:ilvl w:val="0"/>
          <w:numId w:val="1"/>
        </w:numPr>
        <w:spacing w:after="100"/>
      </w:pPr>
      <w:r>
        <w:rPr>
          <w:b/>
          <w:bCs/>
        </w:rPr>
        <w:t xml:space="preserve">R6 – Remanufacture (Återtillverka): </w:t>
      </w:r>
      <w:r>
        <w:t xml:space="preserve">Ta komponenter från gamla produkter och bygga ihop dem till en ny produkt med samma funktion och med fabriksny garanti (vanligt inom fordonsindustri och medicinteknik). </w:t>
      </w:r>
      <w:hyperlink w:history="1" r:id="rIdpxtozmq9pd3zm6jpubipy">
        <w:r>
          <w:rPr>
            <w:rStyle w:val="Hyperlink"/>
            <w:vertAlign w:val="superscript"/>
          </w:rPr>
          <w:t xml:space="preserve">[3]</w:t>
        </w:r>
      </w:hyperlink>
      <w:hyperlink w:history="1" r:id="rIdvgbas-tb8j6ggchpi0zc4">
        <w:r>
          <w:rPr>
            <w:rStyle w:val="Hyperlink"/>
            <w:vertAlign w:val="superscript"/>
          </w:rPr>
          <w:t xml:space="preserve">[4]</w:t>
        </w:r>
      </w:hyperlink>
    </w:p>
    <w:p>
      <w:pPr>
        <w:pStyle w:val="ListParagraph"/>
        <w:numPr>
          <w:ilvl w:val="0"/>
          <w:numId w:val="1"/>
        </w:numPr>
        <w:spacing w:after="100"/>
      </w:pPr>
      <w:r>
        <w:rPr>
          <w:b/>
          <w:bCs/>
        </w:rPr>
        <w:t xml:space="preserve">R7 – Repurpose (Ge nytt syfte): </w:t>
      </w:r>
      <w:r>
        <w:t xml:space="preserve">Använda en uttjänt produkt eller dess delar i en helt ny typ av produkt med en annan funktion (t.ex. göra bilbälten till väskor). </w:t>
      </w:r>
      <w:hyperlink w:history="1" r:id="rId3yi8v0ldofiw_polrh8rm">
        <w:r>
          <w:rPr>
            <w:rStyle w:val="Hyperlink"/>
            <w:vertAlign w:val="superscript"/>
          </w:rPr>
          <w:t xml:space="preserve">[3]</w:t>
        </w:r>
      </w:hyperlink>
      <w:hyperlink w:history="1" r:id="rId3adhoxgqd3s2uaulem4qp">
        <w:r>
          <w:rPr>
            <w:rStyle w:val="Hyperlink"/>
            <w:vertAlign w:val="superscript"/>
          </w:rPr>
          <w:t xml:space="preserve">[5]</w:t>
        </w:r>
      </w:hyperlink>
    </w:p>
    <w:p>
      <w:pPr>
        <w:pStyle w:val="Heading1"/>
        <w:spacing w:after="150" w:before="300"/>
      </w:pPr>
      <w:r>
        <w:t xml:space="preserve">2. Medlemskriterier</w:t>
      </w:r>
    </w:p>
    <w:p>
      <w:pPr>
        <w:spacing w:after="120"/>
      </w:pPr>
      <w:r>
        <w:t xml:space="preserve">Ett företag eller en organisation kan bli medlem i föreningen om båda nedanstående kriterier är uppfyllda:</w:t>
      </w:r>
    </w:p>
    <w:p>
      <w:pPr>
        <w:spacing w:after="80"/>
      </w:pPr>
      <w:r>
        <w:t xml:space="preserve">1. Är registrerad och/eller verksam i Vänersborg.</w:t>
      </w:r>
    </w:p>
    <w:p>
      <w:pPr>
        <w:spacing w:after="80"/>
      </w:pPr>
      <w:r>
        <w:t xml:space="preserve">2. Erbjuder cirkulära produkter och tjänster i Vänersborg, enligt de principer som beskrivs i avsnitt 1 ovan.</w:t>
      </w:r>
    </w:p>
    <w:p>
      <w:pPr>
        <w:spacing w:after="120"/>
      </w:pPr>
      <w:r>
        <w:t xml:space="preserve">Styrelsen prövar och beslutar om ansökningar om medlemskap enligt § 4.2 i stadgarna, och avgör i samband med detta vilken medlemskategori enligt avsnitt 3 nedan som är tillämplig.</w:t>
      </w:r>
    </w:p>
    <w:p>
      <w:pPr>
        <w:pStyle w:val="Heading1"/>
        <w:spacing w:after="150" w:before="300"/>
      </w:pPr>
      <w:r>
        <w:t xml:space="preserve">3. Medlemskategorier och kommunikationsmaterial</w:t>
      </w:r>
    </w:p>
    <w:p>
      <w:pPr>
        <w:spacing w:after="120"/>
      </w:pPr>
      <w:r>
        <w:t xml:space="preserve">Medlemmar delas in i tre kategorier enligt § 4.1 i stadgarna. Kategorierna avgör vilket kommunikations- och marknadsföringsmaterial medlemmen får använda i sin marknadsföring av det cirkulära utbudet.</w:t>
      </w:r>
    </w:p>
    <w:p>
      <w:pPr>
        <w:pStyle w:val="Heading3"/>
        <w:spacing w:after="80" w:before="160"/>
      </w:pPr>
      <w:r>
        <w:t xml:space="preserve">3.1 Verksamhetsmedlem A – primärt cirkulär affärsmodell</w:t>
      </w:r>
    </w:p>
    <w:p>
      <w:pPr>
        <w:spacing w:after="120"/>
      </w:pPr>
      <w:r>
        <w:t xml:space="preserve">Företag vars primära affärsmodell är cirkulär får i sin marknadsföring använda föreningens angivna kommunikationsmaterial (”Första varvets” material).</w:t>
      </w:r>
    </w:p>
    <w:p>
      <w:pPr>
        <w:pStyle w:val="Heading3"/>
        <w:spacing w:after="80" w:before="160"/>
      </w:pPr>
      <w:r>
        <w:t xml:space="preserve">3.2 Verksamhetsmedlem B – delvis cirkulär affärsmodell</w:t>
      </w:r>
    </w:p>
    <w:p>
      <w:pPr>
        <w:spacing w:after="120"/>
      </w:pPr>
      <w:r>
        <w:t xml:space="preserve">Företag som har ett cirkulärt utbud, men vars affärsmodell inte primärt är cirkulär, får använda ett annat kommunikationsmaterial (”Andra varvets” material, annan färgsättning). Det cirkulära utbudet ska vara tydligt uppmärkt och särskiljt från övriga produkter och tjänster med Andra varvets kommunikationsmaterial.</w:t>
      </w:r>
    </w:p>
    <w:p>
      <w:pPr>
        <w:pStyle w:val="Heading3"/>
        <w:spacing w:after="80" w:before="160"/>
      </w:pPr>
      <w:r>
        <w:t xml:space="preserve">3.3 Verksamhetsmedlem C – organisation med cirkulärt utbud</w:t>
      </w:r>
    </w:p>
    <w:p>
      <w:pPr>
        <w:spacing w:after="120"/>
      </w:pPr>
      <w:r>
        <w:t xml:space="preserve">Organisationer som har ett cirkulärt utbud, såsom bibliotek, fritidsbank eller leksaksbibliotek, kan också bli medlemmar i föreningen. Dessa organisationer får använda Andra varvets kommunikationsmaterial, avsett för att kommunicera organisationer inom denna kategori.</w:t>
      </w:r>
    </w:p>
    <w:p>
      <w:pPr>
        <w:pStyle w:val="Heading1"/>
        <w:spacing w:after="150" w:before="300"/>
      </w:pPr>
      <w:r>
        <w:t xml:space="preserve">4. Uppdatering av denna bilaga</w:t>
      </w:r>
    </w:p>
    <w:p>
      <w:pPr>
        <w:spacing w:after="120"/>
      </w:pPr>
      <w:r>
        <w:t xml:space="preserve">Styrelsen ansvarar för att denna bilaga hålls uppdaterad i takt med att föreningens definitioner av cirkularitet, medlemskriterier eller kommunikationsmaterial utvecklas. Ändringar i denna bilaga kräver inte beslut om stadgeändring, men ska protokollföras av styrelsen och kommuniceras till samtliga medlemmar.</w:t>
      </w:r>
    </w:p>
    <w:p>
      <w:pPr>
        <w:spacing w:before="300"/>
      </w:pPr>
    </w:p>
    <w:p>
      <w:pPr>
        <w:spacing w:after="100"/>
      </w:pPr>
      <w:r>
        <w:rPr>
          <w:b/>
          <w:bCs/>
        </w:rPr>
        <w:t xml:space="preserve">Källor:</w:t>
      </w:r>
    </w:p>
    <w:p>
      <w:pPr>
        <w:spacing w:after="40"/>
      </w:pPr>
      <w:r>
        <w:t xml:space="preserve">[1] grow-circular.eu – 9R Framework</w:t>
      </w:r>
    </w:p>
    <w:p>
      <w:pPr>
        <w:spacing w:after="40"/>
      </w:pPr>
      <w:r>
        <w:t xml:space="preserve">[2] Naturvårdsverket – Vad är cirkulär ekonomi?</w:t>
      </w:r>
    </w:p>
    <w:p>
      <w:pPr>
        <w:spacing w:after="40"/>
      </w:pPr>
      <w:r>
        <w:t xml:space="preserve">[3] Sfridoo – I pilastri dell'economia circolare</w:t>
      </w:r>
    </w:p>
    <w:p>
      <w:pPr>
        <w:spacing w:after="40"/>
      </w:pPr>
      <w:r>
        <w:t xml:space="preserve">[4] Medium – The 9Rs of Circular Economy</w:t>
      </w:r>
    </w:p>
    <w:p>
      <w:pPr>
        <w:spacing w:after="40"/>
      </w:pPr>
      <w:r>
        <w:t xml:space="preserve">[5] Circularise – R-strategies for a circular economy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1tx3krwgjxqybtm2poh" Type="http://schemas.openxmlformats.org/officeDocument/2006/relationships/hyperlink" Target="https://grow-circular.eu/knowledge-base/9r-framework/" TargetMode="External"/><Relationship Id="rIdpe92svpd04voyns8x59wp" Type="http://schemas.openxmlformats.org/officeDocument/2006/relationships/hyperlink" Target="https://www.naturvardsverket.se/amnesomraden/cirkular-ekonomi/vad-ar-cirkular-ekonomi/" TargetMode="External"/><Relationship Id="rIdpj316lwamoicf_4kjmlsx" Type="http://schemas.openxmlformats.org/officeDocument/2006/relationships/hyperlink" Target="https://www.sfridoo.com/en/blog/quali-sono-i-pilastri-delleconomia-circolare/" TargetMode="External"/><Relationship Id="rIdbr-r8gzowrfu5zqjw_y67" Type="http://schemas.openxmlformats.org/officeDocument/2006/relationships/hyperlink" Target="https://www.sfridoo.com/en/blog/quali-sono-i-pilastri-delleconomia-circolare/" TargetMode="External"/><Relationship Id="rId0bch277092bgphs7kmxv5" Type="http://schemas.openxmlformats.org/officeDocument/2006/relationships/hyperlink" Target="https://www.sfridoo.com/en/blog/quali-sono-i-pilastri-delleconomia-circolare/" TargetMode="External"/><Relationship Id="rIdi3y1qqezjjryvczmaqhc9" Type="http://schemas.openxmlformats.org/officeDocument/2006/relationships/hyperlink" Target="https://www.naturvardsverket.se/amnesomraden/cirkular-ekonomi/vad-ar-cirkular-ekonomi/" TargetMode="External"/><Relationship Id="rIdovybtr1ax6810-cqitnsv" Type="http://schemas.openxmlformats.org/officeDocument/2006/relationships/hyperlink" Target="https://www.sfridoo.com/en/blog/quali-sono-i-pilastri-delleconomia-circolare/" TargetMode="External"/><Relationship Id="rIdpxtozmq9pd3zm6jpubipy" Type="http://schemas.openxmlformats.org/officeDocument/2006/relationships/hyperlink" Target="https://www.sfridoo.com/en/blog/quali-sono-i-pilastri-delleconomia-circolare/" TargetMode="External"/><Relationship Id="rIdvgbas-tb8j6ggchpi0zc4" Type="http://schemas.openxmlformats.org/officeDocument/2006/relationships/hyperlink" Target="https://medium.com/@marialauraramirez/the-9rs-of-circular-economy-6fdd5fd05d82" TargetMode="External"/><Relationship Id="rId3yi8v0ldofiw_polrh8rm" Type="http://schemas.openxmlformats.org/officeDocument/2006/relationships/hyperlink" Target="https://www.sfridoo.com/en/blog/quali-sono-i-pilastri-delleconomia-circolare/" TargetMode="External"/><Relationship Id="rId3adhoxgqd3s2uaulem4qp" Type="http://schemas.openxmlformats.org/officeDocument/2006/relationships/hyperlink" Target="https://www.circularise.com/blogs/r-strategies-for-a-circular-economy/"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2026-09-17T07:37:48.058Z</dcterms:created>
  <dcterms:modified xsi:type="dcterms:W3CDTF">2026-09-17T07:37:48.058Z</dcterms:modified>
</cp:coreProperties>
</file>

<file path=docProps/custom.xml><?xml version="1.0" encoding="utf-8"?>
<Properties xmlns="http://schemas.openxmlformats.org/officeDocument/2006/custom-properties" xmlns:vt="http://schemas.openxmlformats.org/officeDocument/2006/docPropsVTypes"/>
</file>